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0220F" w14:textId="77777777" w:rsidR="00921728" w:rsidRPr="00F85AD0" w:rsidRDefault="005810CC" w:rsidP="007B09B3">
      <w:pPr>
        <w:spacing w:after="240"/>
        <w:jc w:val="both"/>
        <w:rPr>
          <w:rFonts w:asciiTheme="majorHAnsi" w:hAnsiTheme="majorHAnsi" w:cstheme="majorHAnsi"/>
        </w:rPr>
      </w:pPr>
      <w:r>
        <w:rPr>
          <w:rFonts w:asciiTheme="majorHAnsi" w:hAnsiTheme="majorHAnsi" w:cstheme="majorHAnsi"/>
        </w:rPr>
        <w:t>LBS2ITS Newsletter No. 4</w:t>
      </w:r>
    </w:p>
    <w:p w14:paraId="4D975491" w14:textId="77777777" w:rsidR="00921728" w:rsidRPr="00F85AD0" w:rsidRDefault="00CF4546" w:rsidP="007B09B3">
      <w:pPr>
        <w:jc w:val="both"/>
        <w:rPr>
          <w:rFonts w:asciiTheme="majorHAnsi" w:hAnsiTheme="majorHAnsi" w:cstheme="majorHAnsi"/>
          <w:b/>
          <w:sz w:val="28"/>
          <w:szCs w:val="28"/>
        </w:rPr>
      </w:pPr>
      <w:r>
        <w:rPr>
          <w:rFonts w:asciiTheme="majorHAnsi" w:hAnsiTheme="majorHAnsi" w:cstheme="majorHAnsi"/>
          <w:b/>
          <w:sz w:val="28"/>
          <w:szCs w:val="28"/>
        </w:rPr>
        <w:t>LBS2ITS - Project outcome presentations</w:t>
      </w:r>
    </w:p>
    <w:p w14:paraId="41942494" w14:textId="77777777" w:rsidR="00921728" w:rsidRPr="00F85AD0" w:rsidRDefault="00CF4546" w:rsidP="007B09B3">
      <w:pPr>
        <w:jc w:val="both"/>
        <w:rPr>
          <w:rFonts w:asciiTheme="majorHAnsi" w:hAnsiTheme="majorHAnsi" w:cstheme="majorHAnsi"/>
        </w:rPr>
      </w:pPr>
      <w:r>
        <w:rPr>
          <w:rFonts w:asciiTheme="majorHAnsi" w:hAnsiTheme="majorHAnsi" w:cstheme="majorHAnsi"/>
        </w:rPr>
        <w:t>June 18</w:t>
      </w:r>
      <w:r w:rsidR="00921728" w:rsidRPr="00F85AD0">
        <w:rPr>
          <w:rFonts w:asciiTheme="majorHAnsi" w:hAnsiTheme="majorHAnsi" w:cstheme="majorHAnsi"/>
        </w:rPr>
        <w:t>, 2022</w:t>
      </w:r>
    </w:p>
    <w:p w14:paraId="6B4C1CCD" w14:textId="77777777" w:rsidR="009674ED" w:rsidRPr="002061C8" w:rsidRDefault="009674ED" w:rsidP="007B09B3">
      <w:pPr>
        <w:jc w:val="both"/>
        <w:rPr>
          <w:rFonts w:asciiTheme="majorHAnsi" w:hAnsiTheme="majorHAnsi" w:cstheme="majorHAnsi"/>
          <w:sz w:val="4"/>
          <w:szCs w:val="4"/>
        </w:rPr>
      </w:pPr>
    </w:p>
    <w:p w14:paraId="61F9D8E9" w14:textId="77777777" w:rsidR="00CF4546" w:rsidRPr="00CF4546" w:rsidRDefault="00CF4546" w:rsidP="00CF4546">
      <w:pPr>
        <w:spacing w:after="0"/>
        <w:jc w:val="both"/>
        <w:rPr>
          <w:rFonts w:asciiTheme="majorHAnsi" w:hAnsiTheme="majorHAnsi" w:cstheme="majorHAnsi"/>
          <w:b/>
          <w:sz w:val="26"/>
          <w:szCs w:val="26"/>
        </w:rPr>
      </w:pPr>
      <w:r w:rsidRPr="00CF4546">
        <w:rPr>
          <w:rFonts w:asciiTheme="majorHAnsi" w:hAnsiTheme="majorHAnsi" w:cstheme="majorHAnsi"/>
          <w:b/>
          <w:sz w:val="26"/>
          <w:szCs w:val="26"/>
        </w:rPr>
        <w:t>Presentation at the ISPRS Congress in Nice, France</w:t>
      </w:r>
    </w:p>
    <w:p w14:paraId="490346F9" w14:textId="77777777" w:rsidR="00DA7B28" w:rsidRDefault="00DA7B28" w:rsidP="00DA344F">
      <w:pPr>
        <w:jc w:val="both"/>
        <w:rPr>
          <w:rFonts w:asciiTheme="minorHAnsi" w:hAnsiTheme="minorHAnsi" w:cstheme="minorHAnsi"/>
        </w:rPr>
      </w:pPr>
      <w:r w:rsidRPr="00DA7B28">
        <w:rPr>
          <w:rFonts w:asciiTheme="minorHAnsi" w:hAnsiTheme="minorHAnsi" w:cstheme="minorHAnsi"/>
        </w:rPr>
        <w:t xml:space="preserve">Guenther </w:t>
      </w:r>
      <w:proofErr w:type="spellStart"/>
      <w:r w:rsidRPr="00DA7B28">
        <w:rPr>
          <w:rFonts w:asciiTheme="minorHAnsi" w:hAnsiTheme="minorHAnsi" w:cstheme="minorHAnsi"/>
        </w:rPr>
        <w:t>Retscher</w:t>
      </w:r>
      <w:proofErr w:type="spellEnd"/>
      <w:r w:rsidRPr="00DA7B28">
        <w:rPr>
          <w:rFonts w:asciiTheme="minorHAnsi" w:hAnsiTheme="minorHAnsi" w:cstheme="minorHAnsi"/>
        </w:rPr>
        <w:t xml:space="preserve"> successfully</w:t>
      </w:r>
      <w:r w:rsidR="00292C36">
        <w:rPr>
          <w:rFonts w:asciiTheme="minorHAnsi" w:hAnsiTheme="minorHAnsi" w:cstheme="minorHAnsi"/>
        </w:rPr>
        <w:t xml:space="preserve"> </w:t>
      </w:r>
      <w:r w:rsidR="00292C36" w:rsidRPr="00DA7B28">
        <w:rPr>
          <w:rFonts w:asciiTheme="minorHAnsi" w:hAnsiTheme="minorHAnsi" w:cstheme="minorHAnsi"/>
        </w:rPr>
        <w:t>presented</w:t>
      </w:r>
      <w:r w:rsidRPr="00DA7B28">
        <w:rPr>
          <w:rFonts w:asciiTheme="minorHAnsi" w:hAnsiTheme="minorHAnsi" w:cstheme="minorHAnsi"/>
        </w:rPr>
        <w:t xml:space="preserve"> an outcome of the LBS2ITS project at the </w:t>
      </w:r>
      <w:hyperlink r:id="rId8" w:history="1">
        <w:r w:rsidRPr="00DA344F">
          <w:rPr>
            <w:rStyle w:val="Hyperlink"/>
            <w:rFonts w:asciiTheme="minorHAnsi" w:hAnsiTheme="minorHAnsi" w:cstheme="minorHAnsi"/>
          </w:rPr>
          <w:t>XXIV Congress of the International Society of Photogrammetry and Remote Sensing</w:t>
        </w:r>
      </w:hyperlink>
      <w:r w:rsidRPr="00DA7B28">
        <w:rPr>
          <w:rFonts w:asciiTheme="minorHAnsi" w:hAnsiTheme="minorHAnsi" w:cstheme="minorHAnsi"/>
        </w:rPr>
        <w:t xml:space="preserve"> in Nice, France, from June 6 to 11, 2022. His presentation on June 7 entitled ‘New Opportunities with </w:t>
      </w:r>
      <w:proofErr w:type="spellStart"/>
      <w:r w:rsidRPr="00DA7B28">
        <w:rPr>
          <w:rFonts w:asciiTheme="minorHAnsi" w:hAnsiTheme="minorHAnsi" w:cstheme="minorHAnsi"/>
        </w:rPr>
        <w:t>PBeL</w:t>
      </w:r>
      <w:proofErr w:type="spellEnd"/>
      <w:r w:rsidRPr="00DA7B28">
        <w:rPr>
          <w:rFonts w:asciiTheme="minorHAnsi" w:hAnsiTheme="minorHAnsi" w:cstheme="minorHAnsi"/>
        </w:rPr>
        <w:t xml:space="preserve"> (Problem Based e-Learning) for the Erasmus + Capacity Building in Higher Education Project LBS2ITS’ provided an insight into the integration of PBL (Problem Based Learning) with e-Learning which was developed in the course of LBS2ITS. </w:t>
      </w:r>
      <w:r w:rsidR="00DA344F">
        <w:rPr>
          <w:rFonts w:asciiTheme="minorHAnsi" w:hAnsiTheme="minorHAnsi" w:cstheme="minorHAnsi"/>
        </w:rPr>
        <w:br/>
      </w:r>
    </w:p>
    <w:p w14:paraId="1DC6A09E" w14:textId="77777777" w:rsidR="00DA344F" w:rsidRDefault="00DA344F" w:rsidP="00DA344F">
      <w:pPr>
        <w:keepNext/>
        <w:jc w:val="center"/>
      </w:pPr>
      <w:r>
        <w:rPr>
          <w:rFonts w:asciiTheme="majorHAnsi" w:hAnsiTheme="majorHAnsi" w:cstheme="majorHAnsi"/>
          <w:noProof/>
          <w:lang w:eastAsia="en-GB"/>
        </w:rPr>
        <w:drawing>
          <wp:inline distT="0" distB="0" distL="0" distR="0" wp14:anchorId="4C26A300" wp14:editId="01481EA1">
            <wp:extent cx="5737608" cy="258406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l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7331" cy="2597455"/>
                    </a:xfrm>
                    <a:prstGeom prst="rect">
                      <a:avLst/>
                    </a:prstGeom>
                  </pic:spPr>
                </pic:pic>
              </a:graphicData>
            </a:graphic>
          </wp:inline>
        </w:drawing>
      </w:r>
    </w:p>
    <w:p w14:paraId="680C7EED" w14:textId="77777777" w:rsidR="00DA344F" w:rsidRPr="00DA7B28" w:rsidRDefault="00DA344F" w:rsidP="00DA344F">
      <w:pPr>
        <w:pStyle w:val="Caption"/>
        <w:jc w:val="center"/>
        <w:rPr>
          <w:rFonts w:asciiTheme="minorHAnsi" w:hAnsiTheme="minorHAnsi" w:cstheme="minorHAnsi"/>
        </w:rPr>
      </w:pPr>
      <w:r w:rsidRPr="0085717D">
        <w:rPr>
          <w:rFonts w:asciiTheme="minorHAnsi" w:hAnsiTheme="minorHAnsi" w:cstheme="minorHAnsi"/>
        </w:rPr>
        <w:t xml:space="preserve">Prof. </w:t>
      </w:r>
      <w:r>
        <w:rPr>
          <w:rFonts w:asciiTheme="minorHAnsi" w:hAnsiTheme="minorHAnsi" w:cstheme="minorHAnsi"/>
        </w:rPr>
        <w:t xml:space="preserve">Günther </w:t>
      </w:r>
      <w:proofErr w:type="spellStart"/>
      <w:r>
        <w:rPr>
          <w:rFonts w:asciiTheme="minorHAnsi" w:hAnsiTheme="minorHAnsi" w:cstheme="minorHAnsi"/>
        </w:rPr>
        <w:t>Retscher</w:t>
      </w:r>
      <w:proofErr w:type="spellEnd"/>
      <w:r>
        <w:rPr>
          <w:rFonts w:asciiTheme="minorHAnsi" w:hAnsiTheme="minorHAnsi" w:cstheme="minorHAnsi"/>
        </w:rPr>
        <w:t xml:space="preserve"> at the ISPRS Congress</w:t>
      </w:r>
    </w:p>
    <w:p w14:paraId="426E2669" w14:textId="77777777" w:rsidR="00DA7B28" w:rsidRPr="00DA7B28" w:rsidRDefault="00DA7B28" w:rsidP="00DA7B28">
      <w:pPr>
        <w:jc w:val="both"/>
        <w:rPr>
          <w:rFonts w:asciiTheme="minorHAnsi" w:hAnsiTheme="minorHAnsi" w:cstheme="minorHAnsi"/>
        </w:rPr>
      </w:pPr>
      <w:r w:rsidRPr="00DA7B28">
        <w:rPr>
          <w:rFonts w:asciiTheme="minorHAnsi" w:hAnsiTheme="minorHAnsi" w:cstheme="minorHAnsi"/>
        </w:rPr>
        <w:t xml:space="preserve">In the courses modernization carried out in LBS2ITS, special attention is paid to the development and/or update of the courses to be implemented with these two pedagogic forms. Thus, teaching with an emphasis on learning outcomes is a central theme building a fully immersive and integrated LBS teaching and learning experience with the LBS application of ITS in mind. As e-learning and PBL must be combined and integrated nowadays, the new term </w:t>
      </w:r>
      <w:proofErr w:type="spellStart"/>
      <w:r w:rsidRPr="00DA7B28">
        <w:rPr>
          <w:rFonts w:asciiTheme="minorHAnsi" w:hAnsiTheme="minorHAnsi" w:cstheme="minorHAnsi"/>
        </w:rPr>
        <w:t>PBeL</w:t>
      </w:r>
      <w:proofErr w:type="spellEnd"/>
      <w:r w:rsidRPr="00DA7B28">
        <w:rPr>
          <w:rFonts w:asciiTheme="minorHAnsi" w:hAnsiTheme="minorHAnsi" w:cstheme="minorHAnsi"/>
        </w:rPr>
        <w:t xml:space="preserve"> was proposed</w:t>
      </w:r>
      <w:r w:rsidR="00292C36">
        <w:rPr>
          <w:rFonts w:asciiTheme="minorHAnsi" w:hAnsiTheme="minorHAnsi" w:cstheme="minorHAnsi"/>
        </w:rPr>
        <w:t xml:space="preserve"> to demonstrate</w:t>
      </w:r>
      <w:r w:rsidRPr="00DA7B28">
        <w:rPr>
          <w:rFonts w:asciiTheme="minorHAnsi" w:hAnsiTheme="minorHAnsi" w:cstheme="minorHAnsi"/>
        </w:rPr>
        <w:t xml:space="preserve"> t</w:t>
      </w:r>
      <w:r w:rsidR="00292C36">
        <w:rPr>
          <w:rFonts w:asciiTheme="minorHAnsi" w:hAnsiTheme="minorHAnsi" w:cstheme="minorHAnsi"/>
        </w:rPr>
        <w:t>hese</w:t>
      </w:r>
      <w:r w:rsidRPr="00DA7B28">
        <w:rPr>
          <w:rFonts w:asciiTheme="minorHAnsi" w:hAnsiTheme="minorHAnsi" w:cstheme="minorHAnsi"/>
        </w:rPr>
        <w:t xml:space="preserve"> development</w:t>
      </w:r>
      <w:r w:rsidR="00292C36">
        <w:rPr>
          <w:rFonts w:asciiTheme="minorHAnsi" w:hAnsiTheme="minorHAnsi" w:cstheme="minorHAnsi"/>
        </w:rPr>
        <w:t>s</w:t>
      </w:r>
      <w:r w:rsidRPr="00DA7B28">
        <w:rPr>
          <w:rFonts w:asciiTheme="minorHAnsi" w:hAnsiTheme="minorHAnsi" w:cstheme="minorHAnsi"/>
        </w:rPr>
        <w:t>. The approach and background information on the theory and the LBS2ITS project were presented at the congress.</w:t>
      </w:r>
    </w:p>
    <w:p w14:paraId="16C45B98" w14:textId="77777777" w:rsidR="002061C8" w:rsidRPr="00CF4546" w:rsidRDefault="002061C8" w:rsidP="007B09B3">
      <w:pPr>
        <w:jc w:val="both"/>
        <w:rPr>
          <w:rFonts w:asciiTheme="minorHAnsi" w:hAnsiTheme="minorHAnsi" w:cstheme="minorHAnsi"/>
        </w:rPr>
      </w:pPr>
    </w:p>
    <w:p w14:paraId="05FA9AB5" w14:textId="77777777" w:rsidR="00DA7B28" w:rsidRDefault="00DA7B28" w:rsidP="00DA7B28">
      <w:pPr>
        <w:keepNext/>
        <w:jc w:val="center"/>
      </w:pPr>
      <w:r w:rsidRPr="00A45A92">
        <w:rPr>
          <w:noProof/>
          <w:lang w:eastAsia="en-GB"/>
        </w:rPr>
        <w:drawing>
          <wp:inline distT="0" distB="0" distL="0" distR="0" wp14:anchorId="7C21AEF2" wp14:editId="334175C6">
            <wp:extent cx="3575050" cy="2533903"/>
            <wp:effectExtent l="0" t="0" r="6350" b="0"/>
            <wp:docPr id="15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4762" cy="2540787"/>
                    </a:xfrm>
                    <a:prstGeom prst="rect">
                      <a:avLst/>
                    </a:prstGeom>
                    <a:noFill/>
                    <a:ln w="6350">
                      <a:noFill/>
                    </a:ln>
                    <a:effectLst>
                      <a:softEdge rad="0"/>
                    </a:effectLst>
                  </pic:spPr>
                </pic:pic>
              </a:graphicData>
            </a:graphic>
          </wp:inline>
        </w:drawing>
      </w:r>
    </w:p>
    <w:p w14:paraId="7A0DC5FA" w14:textId="77777777" w:rsidR="00DA344F" w:rsidRDefault="00DA7B28" w:rsidP="00DA344F">
      <w:pPr>
        <w:jc w:val="center"/>
        <w:rPr>
          <w:rFonts w:asciiTheme="minorHAnsi" w:hAnsiTheme="minorHAnsi" w:cstheme="minorHAnsi"/>
          <w:i/>
          <w:sz w:val="18"/>
          <w:szCs w:val="18"/>
        </w:rPr>
      </w:pPr>
      <w:r w:rsidRPr="00DA344F">
        <w:rPr>
          <w:rFonts w:asciiTheme="minorHAnsi" w:hAnsiTheme="minorHAnsi" w:cstheme="minorHAnsi"/>
          <w:i/>
          <w:sz w:val="18"/>
          <w:szCs w:val="18"/>
        </w:rPr>
        <w:t xml:space="preserve">The </w:t>
      </w:r>
      <w:proofErr w:type="spellStart"/>
      <w:r w:rsidRPr="00DA344F">
        <w:rPr>
          <w:rFonts w:asciiTheme="minorHAnsi" w:hAnsiTheme="minorHAnsi" w:cstheme="minorHAnsi"/>
          <w:i/>
          <w:sz w:val="18"/>
          <w:szCs w:val="18"/>
        </w:rPr>
        <w:t>PBeL</w:t>
      </w:r>
      <w:proofErr w:type="spellEnd"/>
      <w:r w:rsidRPr="00DA344F">
        <w:rPr>
          <w:rFonts w:asciiTheme="minorHAnsi" w:hAnsiTheme="minorHAnsi" w:cstheme="minorHAnsi"/>
          <w:i/>
          <w:sz w:val="18"/>
          <w:szCs w:val="18"/>
        </w:rPr>
        <w:t xml:space="preserve"> (Problem Based e-Learning) cycle</w:t>
      </w:r>
    </w:p>
    <w:p w14:paraId="7D70F8CF" w14:textId="77777777" w:rsidR="00DA7B28" w:rsidRPr="00CF4546" w:rsidRDefault="00DA7B28" w:rsidP="00DA344F">
      <w:pPr>
        <w:rPr>
          <w:rFonts w:asciiTheme="minorHAnsi" w:hAnsiTheme="minorHAnsi" w:cstheme="minorHAnsi"/>
          <w:i/>
          <w:sz w:val="26"/>
          <w:szCs w:val="26"/>
        </w:rPr>
      </w:pPr>
      <w:r w:rsidRPr="00CF4546">
        <w:rPr>
          <w:rFonts w:asciiTheme="minorHAnsi" w:hAnsiTheme="minorHAnsi" w:cstheme="minorHAnsi"/>
          <w:b/>
          <w:sz w:val="26"/>
          <w:szCs w:val="26"/>
        </w:rPr>
        <w:lastRenderedPageBreak/>
        <w:t xml:space="preserve">Presentation at the </w:t>
      </w:r>
      <w:r w:rsidRPr="00CF4546">
        <w:rPr>
          <w:rFonts w:asciiTheme="minorHAnsi" w:eastAsia="Times New Roman" w:hAnsiTheme="minorHAnsi" w:cstheme="minorHAnsi"/>
          <w:b/>
          <w:bCs/>
          <w:sz w:val="26"/>
          <w:szCs w:val="26"/>
          <w:lang w:eastAsia="de-AT"/>
        </w:rPr>
        <w:t>8th International Conference on Higher Education Advances – HEAd’22, J</w:t>
      </w:r>
      <w:r w:rsidR="00DA344F" w:rsidRPr="00CF4546">
        <w:rPr>
          <w:rFonts w:asciiTheme="minorHAnsi" w:eastAsia="Times New Roman" w:hAnsiTheme="minorHAnsi" w:cstheme="minorHAnsi"/>
          <w:b/>
          <w:bCs/>
          <w:sz w:val="26"/>
          <w:szCs w:val="26"/>
          <w:lang w:eastAsia="de-AT"/>
        </w:rPr>
        <w:t>une 14-17, 2022, Valencia, Spain</w:t>
      </w:r>
    </w:p>
    <w:p w14:paraId="72061A1A" w14:textId="77777777" w:rsidR="00292C36" w:rsidRDefault="00DA7B28" w:rsidP="00DA344F">
      <w:pPr>
        <w:jc w:val="both"/>
        <w:rPr>
          <w:rFonts w:asciiTheme="minorHAnsi" w:hAnsiTheme="minorHAnsi" w:cstheme="minorHAnsi"/>
        </w:rPr>
      </w:pPr>
      <w:r w:rsidRPr="00DA7B28">
        <w:rPr>
          <w:rFonts w:asciiTheme="minorHAnsi" w:hAnsiTheme="minorHAnsi" w:cstheme="minorHAnsi"/>
        </w:rPr>
        <w:t>The HEAd’22 conference was held in Valencia, Spain in June 2022 for the 8</w:t>
      </w:r>
      <w:r w:rsidRPr="00DA7B28">
        <w:rPr>
          <w:rFonts w:asciiTheme="minorHAnsi" w:hAnsiTheme="minorHAnsi" w:cstheme="minorHAnsi"/>
          <w:vertAlign w:val="superscript"/>
        </w:rPr>
        <w:t>th</w:t>
      </w:r>
      <w:r w:rsidRPr="00DA7B28">
        <w:rPr>
          <w:rFonts w:asciiTheme="minorHAnsi" w:hAnsiTheme="minorHAnsi" w:cstheme="minorHAnsi"/>
        </w:rPr>
        <w:t xml:space="preserve"> time. It is a platform for researchers and practitioners to exchange ideas, experiences and research results relating to the preparation of students and the organization of higher education systems. More than 100 papers have been selected for presentation. The respective</w:t>
      </w:r>
      <w:r w:rsidR="00292C36">
        <w:rPr>
          <w:rFonts w:asciiTheme="minorHAnsi" w:hAnsiTheme="minorHAnsi" w:cstheme="minorHAnsi"/>
        </w:rPr>
        <w:t xml:space="preserve"> publication can be found at</w:t>
      </w:r>
      <w:r>
        <w:rPr>
          <w:rFonts w:asciiTheme="minorHAnsi" w:hAnsiTheme="minorHAnsi" w:cstheme="minorHAnsi"/>
        </w:rPr>
        <w:t xml:space="preserve">: </w:t>
      </w:r>
      <w:hyperlink r:id="rId11" w:history="1">
        <w:r w:rsidR="00292C36" w:rsidRPr="00292C36">
          <w:rPr>
            <w:rStyle w:val="Hyperlink"/>
            <w:rFonts w:asciiTheme="minorHAnsi" w:hAnsiTheme="minorHAnsi" w:cstheme="minorHAnsi"/>
          </w:rPr>
          <w:t>http://ocs.editorial.upv.es/index.php/HEAD/HEAd22/paper/view/14473</w:t>
        </w:r>
      </w:hyperlink>
    </w:p>
    <w:p w14:paraId="6F244FDA" w14:textId="77777777" w:rsidR="00DA7B28" w:rsidRPr="00DA7B28" w:rsidRDefault="00DA7B28" w:rsidP="00DA344F">
      <w:pPr>
        <w:jc w:val="both"/>
        <w:rPr>
          <w:rFonts w:asciiTheme="minorHAnsi" w:hAnsiTheme="minorHAnsi" w:cstheme="minorHAnsi"/>
        </w:rPr>
      </w:pPr>
      <w:r w:rsidRPr="00DA7B28">
        <w:rPr>
          <w:rFonts w:asciiTheme="minorHAnsi" w:hAnsiTheme="minorHAnsi" w:cstheme="minorHAnsi"/>
        </w:rPr>
        <w:t>Topics of presentations included themes such as</w:t>
      </w:r>
    </w:p>
    <w:p w14:paraId="5F185A80" w14:textId="77777777" w:rsidR="00DA7B28" w:rsidRPr="00DA7B28" w:rsidRDefault="00DA7B28" w:rsidP="00DA344F">
      <w:pPr>
        <w:pStyle w:val="ListParagraph"/>
        <w:numPr>
          <w:ilvl w:val="0"/>
          <w:numId w:val="3"/>
        </w:numPr>
        <w:spacing w:before="0" w:after="160" w:line="259" w:lineRule="auto"/>
        <w:jc w:val="both"/>
        <w:rPr>
          <w:rFonts w:asciiTheme="minorHAnsi" w:hAnsiTheme="minorHAnsi" w:cstheme="minorHAnsi"/>
        </w:rPr>
      </w:pPr>
      <w:r w:rsidRPr="00DA7B28">
        <w:rPr>
          <w:rFonts w:asciiTheme="minorHAnsi" w:hAnsiTheme="minorHAnsi" w:cstheme="minorHAnsi"/>
        </w:rPr>
        <w:t>Innovative materials and new tools for teaching</w:t>
      </w:r>
    </w:p>
    <w:p w14:paraId="4454C787" w14:textId="77777777" w:rsidR="00DA7B28" w:rsidRPr="00DA7B28" w:rsidRDefault="00DA7B28" w:rsidP="00DA344F">
      <w:pPr>
        <w:pStyle w:val="ListParagraph"/>
        <w:numPr>
          <w:ilvl w:val="0"/>
          <w:numId w:val="3"/>
        </w:numPr>
        <w:spacing w:before="0" w:after="160" w:line="259" w:lineRule="auto"/>
        <w:jc w:val="both"/>
        <w:rPr>
          <w:rFonts w:asciiTheme="minorHAnsi" w:hAnsiTheme="minorHAnsi" w:cstheme="minorHAnsi"/>
        </w:rPr>
      </w:pPr>
      <w:r w:rsidRPr="00DA7B28">
        <w:rPr>
          <w:rFonts w:asciiTheme="minorHAnsi" w:hAnsiTheme="minorHAnsi" w:cstheme="minorHAnsi"/>
        </w:rPr>
        <w:t>Teaching and learning experiences</w:t>
      </w:r>
    </w:p>
    <w:p w14:paraId="03775685" w14:textId="77777777" w:rsidR="00DA7B28" w:rsidRPr="00DA7B28" w:rsidRDefault="00DA7B28" w:rsidP="00DA344F">
      <w:pPr>
        <w:pStyle w:val="ListParagraph"/>
        <w:numPr>
          <w:ilvl w:val="0"/>
          <w:numId w:val="3"/>
        </w:numPr>
        <w:spacing w:before="0" w:after="160" w:line="259" w:lineRule="auto"/>
        <w:jc w:val="both"/>
        <w:rPr>
          <w:rFonts w:asciiTheme="minorHAnsi" w:hAnsiTheme="minorHAnsi" w:cstheme="minorHAnsi"/>
        </w:rPr>
      </w:pPr>
      <w:r w:rsidRPr="00DA7B28">
        <w:rPr>
          <w:rFonts w:asciiTheme="minorHAnsi" w:hAnsiTheme="minorHAnsi" w:cstheme="minorHAnsi"/>
        </w:rPr>
        <w:t>Educational technology (e.g., virtual labs, e-learning)</w:t>
      </w:r>
    </w:p>
    <w:p w14:paraId="143EE2F1" w14:textId="77777777" w:rsidR="00DA7B28" w:rsidRPr="00DA7B28" w:rsidRDefault="00DA7B28" w:rsidP="00DA344F">
      <w:pPr>
        <w:pStyle w:val="ListParagraph"/>
        <w:numPr>
          <w:ilvl w:val="0"/>
          <w:numId w:val="3"/>
        </w:numPr>
        <w:spacing w:before="0" w:after="160" w:line="259" w:lineRule="auto"/>
        <w:jc w:val="both"/>
        <w:rPr>
          <w:rFonts w:asciiTheme="minorHAnsi" w:hAnsiTheme="minorHAnsi" w:cstheme="minorHAnsi"/>
        </w:rPr>
      </w:pPr>
      <w:r w:rsidRPr="00DA7B28">
        <w:rPr>
          <w:rFonts w:asciiTheme="minorHAnsi" w:hAnsiTheme="minorHAnsi" w:cstheme="minorHAnsi"/>
        </w:rPr>
        <w:t>Evaluation and assessment of student learning</w:t>
      </w:r>
    </w:p>
    <w:p w14:paraId="4B94FAFC" w14:textId="77777777" w:rsidR="00DA7B28" w:rsidRPr="00DA7B28" w:rsidRDefault="00DA7B28" w:rsidP="00DA344F">
      <w:pPr>
        <w:pStyle w:val="ListParagraph"/>
        <w:numPr>
          <w:ilvl w:val="0"/>
          <w:numId w:val="3"/>
        </w:numPr>
        <w:spacing w:before="0" w:after="160" w:line="259" w:lineRule="auto"/>
        <w:jc w:val="both"/>
        <w:rPr>
          <w:rFonts w:asciiTheme="minorHAnsi" w:hAnsiTheme="minorHAnsi" w:cstheme="minorHAnsi"/>
        </w:rPr>
      </w:pPr>
      <w:r w:rsidRPr="00DA7B28">
        <w:rPr>
          <w:rFonts w:asciiTheme="minorHAnsi" w:hAnsiTheme="minorHAnsi" w:cstheme="minorHAnsi"/>
        </w:rPr>
        <w:t>Emerging technologies in learning (e.g., MOOC, OER, gamification)</w:t>
      </w:r>
    </w:p>
    <w:p w14:paraId="2D6D81AB" w14:textId="77777777" w:rsidR="00DA7B28" w:rsidRPr="00DA7B28" w:rsidRDefault="00DA7B28" w:rsidP="00DA344F">
      <w:pPr>
        <w:pStyle w:val="ListParagraph"/>
        <w:numPr>
          <w:ilvl w:val="0"/>
          <w:numId w:val="3"/>
        </w:numPr>
        <w:spacing w:before="0" w:after="160" w:line="259" w:lineRule="auto"/>
        <w:jc w:val="both"/>
        <w:rPr>
          <w:rFonts w:asciiTheme="minorHAnsi" w:hAnsiTheme="minorHAnsi" w:cstheme="minorHAnsi"/>
        </w:rPr>
      </w:pPr>
      <w:r w:rsidRPr="00DA7B28">
        <w:rPr>
          <w:rFonts w:asciiTheme="minorHAnsi" w:hAnsiTheme="minorHAnsi" w:cstheme="minorHAnsi"/>
        </w:rPr>
        <w:t>Scientific and research education</w:t>
      </w:r>
    </w:p>
    <w:p w14:paraId="5D145B14" w14:textId="77777777" w:rsidR="00DA7B28" w:rsidRPr="00DA7B28" w:rsidRDefault="00DA7B28" w:rsidP="00DA344F">
      <w:pPr>
        <w:pStyle w:val="ListParagraph"/>
        <w:numPr>
          <w:ilvl w:val="0"/>
          <w:numId w:val="3"/>
        </w:numPr>
        <w:spacing w:before="0" w:after="160" w:line="259" w:lineRule="auto"/>
        <w:jc w:val="both"/>
        <w:rPr>
          <w:rFonts w:asciiTheme="minorHAnsi" w:hAnsiTheme="minorHAnsi" w:cstheme="minorHAnsi"/>
        </w:rPr>
      </w:pPr>
      <w:r w:rsidRPr="00DA7B28">
        <w:rPr>
          <w:rFonts w:asciiTheme="minorHAnsi" w:hAnsiTheme="minorHAnsi" w:cstheme="minorHAnsi"/>
        </w:rPr>
        <w:t>Experiences outside the classroom (e.g., practicums, mobility)</w:t>
      </w:r>
    </w:p>
    <w:p w14:paraId="70F705EC" w14:textId="77777777" w:rsidR="00DA7B28" w:rsidRPr="00DA7B28" w:rsidRDefault="00DA7B28" w:rsidP="00DA344F">
      <w:pPr>
        <w:pStyle w:val="ListParagraph"/>
        <w:numPr>
          <w:ilvl w:val="0"/>
          <w:numId w:val="3"/>
        </w:numPr>
        <w:spacing w:before="0" w:after="160" w:line="259" w:lineRule="auto"/>
        <w:jc w:val="both"/>
        <w:rPr>
          <w:rFonts w:asciiTheme="minorHAnsi" w:hAnsiTheme="minorHAnsi" w:cstheme="minorHAnsi"/>
        </w:rPr>
      </w:pPr>
      <w:r w:rsidRPr="00DA7B28">
        <w:rPr>
          <w:rFonts w:asciiTheme="minorHAnsi" w:hAnsiTheme="minorHAnsi" w:cstheme="minorHAnsi"/>
        </w:rPr>
        <w:t>New teaching/learning theories and models</w:t>
      </w:r>
    </w:p>
    <w:p w14:paraId="4FAB3202" w14:textId="77777777" w:rsidR="00DA7B28" w:rsidRPr="00DA7B28" w:rsidRDefault="00DA7B28" w:rsidP="00DA344F">
      <w:pPr>
        <w:pStyle w:val="ListParagraph"/>
        <w:numPr>
          <w:ilvl w:val="0"/>
          <w:numId w:val="3"/>
        </w:numPr>
        <w:spacing w:before="0" w:after="160" w:line="259" w:lineRule="auto"/>
        <w:jc w:val="both"/>
        <w:rPr>
          <w:rFonts w:asciiTheme="minorHAnsi" w:hAnsiTheme="minorHAnsi" w:cstheme="minorHAnsi"/>
        </w:rPr>
      </w:pPr>
      <w:r w:rsidRPr="00DA7B28">
        <w:rPr>
          <w:rFonts w:asciiTheme="minorHAnsi" w:hAnsiTheme="minorHAnsi" w:cstheme="minorHAnsi"/>
        </w:rPr>
        <w:t>Globalization in education and education reforms</w:t>
      </w:r>
    </w:p>
    <w:p w14:paraId="75AA598E" w14:textId="77777777" w:rsidR="00DA7B28" w:rsidRPr="00DA7B28" w:rsidRDefault="00DA7B28" w:rsidP="00DA344F">
      <w:pPr>
        <w:pStyle w:val="ListParagraph"/>
        <w:numPr>
          <w:ilvl w:val="0"/>
          <w:numId w:val="3"/>
        </w:numPr>
        <w:spacing w:before="0" w:after="160" w:line="259" w:lineRule="auto"/>
        <w:jc w:val="both"/>
        <w:rPr>
          <w:rFonts w:asciiTheme="minorHAnsi" w:hAnsiTheme="minorHAnsi" w:cstheme="minorHAnsi"/>
        </w:rPr>
      </w:pPr>
      <w:r w:rsidRPr="00DA7B28">
        <w:rPr>
          <w:rFonts w:asciiTheme="minorHAnsi" w:hAnsiTheme="minorHAnsi" w:cstheme="minorHAnsi"/>
        </w:rPr>
        <w:t>Education economics</w:t>
      </w:r>
    </w:p>
    <w:p w14:paraId="233A8CD5" w14:textId="77777777" w:rsidR="00DA7B28" w:rsidRPr="00DA7B28" w:rsidRDefault="00DA7B28" w:rsidP="00DA344F">
      <w:pPr>
        <w:pStyle w:val="ListParagraph"/>
        <w:numPr>
          <w:ilvl w:val="0"/>
          <w:numId w:val="3"/>
        </w:numPr>
        <w:spacing w:before="0" w:after="160" w:line="259" w:lineRule="auto"/>
        <w:jc w:val="both"/>
        <w:rPr>
          <w:rFonts w:asciiTheme="minorHAnsi" w:hAnsiTheme="minorHAnsi" w:cstheme="minorHAnsi"/>
        </w:rPr>
      </w:pPr>
      <w:r w:rsidRPr="00DA7B28">
        <w:rPr>
          <w:rFonts w:asciiTheme="minorHAnsi" w:hAnsiTheme="minorHAnsi" w:cstheme="minorHAnsi"/>
        </w:rPr>
        <w:t>Entrepreneurship and learning for employment</w:t>
      </w:r>
    </w:p>
    <w:p w14:paraId="18397EC1" w14:textId="77777777" w:rsidR="00DA7B28" w:rsidRPr="00DA7B28" w:rsidRDefault="00DA7B28" w:rsidP="00DA344F">
      <w:pPr>
        <w:pStyle w:val="ListParagraph"/>
        <w:numPr>
          <w:ilvl w:val="0"/>
          <w:numId w:val="3"/>
        </w:numPr>
        <w:spacing w:before="0" w:after="160" w:line="259" w:lineRule="auto"/>
        <w:jc w:val="both"/>
        <w:rPr>
          <w:rFonts w:asciiTheme="minorHAnsi" w:hAnsiTheme="minorHAnsi" w:cstheme="minorHAnsi"/>
        </w:rPr>
      </w:pPr>
      <w:r w:rsidRPr="00DA7B28">
        <w:rPr>
          <w:rFonts w:asciiTheme="minorHAnsi" w:hAnsiTheme="minorHAnsi" w:cstheme="minorHAnsi"/>
        </w:rPr>
        <w:t>Education accreditation, quality, and assessment</w:t>
      </w:r>
    </w:p>
    <w:p w14:paraId="70C06E81" w14:textId="77777777" w:rsidR="00DA7B28" w:rsidRPr="00DA7B28" w:rsidRDefault="00DA7B28" w:rsidP="00DA344F">
      <w:pPr>
        <w:pStyle w:val="ListParagraph"/>
        <w:numPr>
          <w:ilvl w:val="0"/>
          <w:numId w:val="3"/>
        </w:numPr>
        <w:spacing w:before="0" w:after="160" w:line="259" w:lineRule="auto"/>
        <w:jc w:val="both"/>
        <w:rPr>
          <w:rFonts w:asciiTheme="minorHAnsi" w:hAnsiTheme="minorHAnsi" w:cstheme="minorHAnsi"/>
        </w:rPr>
      </w:pPr>
      <w:r w:rsidRPr="00DA7B28">
        <w:rPr>
          <w:rFonts w:asciiTheme="minorHAnsi" w:hAnsiTheme="minorHAnsi" w:cstheme="minorHAnsi"/>
        </w:rPr>
        <w:t>Competency-based learning and skill assessment</w:t>
      </w:r>
    </w:p>
    <w:p w14:paraId="215C3424" w14:textId="77777777" w:rsidR="00DA7B28" w:rsidRPr="00DA7B28" w:rsidRDefault="00DA7B28" w:rsidP="00DA344F">
      <w:pPr>
        <w:jc w:val="both"/>
        <w:rPr>
          <w:rFonts w:asciiTheme="minorHAnsi" w:hAnsiTheme="minorHAnsi" w:cstheme="minorHAnsi"/>
        </w:rPr>
      </w:pPr>
      <w:r w:rsidRPr="00DA7B28">
        <w:rPr>
          <w:rFonts w:asciiTheme="minorHAnsi" w:hAnsiTheme="minorHAnsi" w:cstheme="minorHAnsi"/>
        </w:rPr>
        <w:t>from participants from all over the world.</w:t>
      </w:r>
    </w:p>
    <w:p w14:paraId="6949047E" w14:textId="77777777" w:rsidR="00DA7B28" w:rsidRDefault="00DA7B28" w:rsidP="00DA344F">
      <w:pPr>
        <w:jc w:val="both"/>
        <w:rPr>
          <w:rFonts w:asciiTheme="minorHAnsi" w:hAnsiTheme="minorHAnsi" w:cstheme="minorHAnsi"/>
        </w:rPr>
      </w:pPr>
      <w:r w:rsidRPr="00DA7B28">
        <w:rPr>
          <w:rFonts w:asciiTheme="minorHAnsi" w:hAnsiTheme="minorHAnsi" w:cstheme="minorHAnsi"/>
        </w:rPr>
        <w:t>Georg Gartner from TU Wien presented the paper “</w:t>
      </w:r>
      <w:r w:rsidRPr="00DA7B28">
        <w:rPr>
          <w:rFonts w:asciiTheme="minorHAnsi" w:hAnsiTheme="minorHAnsi" w:cstheme="minorHAnsi"/>
          <w:b/>
          <w:bCs/>
        </w:rPr>
        <w:t>From project-based to problem-based learning in engineering disciplines: enhancing cartography and geomatics education</w:t>
      </w:r>
      <w:r w:rsidRPr="00DA7B28">
        <w:rPr>
          <w:rFonts w:asciiTheme="minorHAnsi" w:hAnsiTheme="minorHAnsi" w:cstheme="minorHAnsi"/>
        </w:rPr>
        <w:t xml:space="preserve">”, collaboratively written by Georg Gartner, Andrea </w:t>
      </w:r>
      <w:proofErr w:type="spellStart"/>
      <w:r w:rsidRPr="00DA7B28">
        <w:rPr>
          <w:rFonts w:asciiTheme="minorHAnsi" w:hAnsiTheme="minorHAnsi" w:cstheme="minorHAnsi"/>
        </w:rPr>
        <w:t>Binn</w:t>
      </w:r>
      <w:proofErr w:type="spellEnd"/>
      <w:r w:rsidRPr="00DA7B28">
        <w:rPr>
          <w:rFonts w:asciiTheme="minorHAnsi" w:hAnsiTheme="minorHAnsi" w:cstheme="minorHAnsi"/>
        </w:rPr>
        <w:t xml:space="preserve">, Jelena </w:t>
      </w:r>
      <w:proofErr w:type="spellStart"/>
      <w:r w:rsidRPr="00DA7B28">
        <w:rPr>
          <w:rFonts w:asciiTheme="minorHAnsi" w:hAnsiTheme="minorHAnsi" w:cstheme="minorHAnsi"/>
        </w:rPr>
        <w:t>Gabela</w:t>
      </w:r>
      <w:proofErr w:type="spellEnd"/>
      <w:r w:rsidRPr="00DA7B28">
        <w:rPr>
          <w:rFonts w:asciiTheme="minorHAnsi" w:hAnsiTheme="minorHAnsi" w:cstheme="minorHAnsi"/>
        </w:rPr>
        <w:t xml:space="preserve">, Günther </w:t>
      </w:r>
      <w:proofErr w:type="spellStart"/>
      <w:r w:rsidRPr="00DA7B28">
        <w:rPr>
          <w:rFonts w:asciiTheme="minorHAnsi" w:hAnsiTheme="minorHAnsi" w:cstheme="minorHAnsi"/>
        </w:rPr>
        <w:t>Retscher</w:t>
      </w:r>
      <w:proofErr w:type="spellEnd"/>
      <w:r w:rsidRPr="00DA7B28">
        <w:rPr>
          <w:rFonts w:asciiTheme="minorHAnsi" w:hAnsiTheme="minorHAnsi" w:cstheme="minorHAnsi"/>
        </w:rPr>
        <w:t xml:space="preserve">, Vassilis </w:t>
      </w:r>
      <w:proofErr w:type="spellStart"/>
      <w:r w:rsidRPr="00DA7B28">
        <w:rPr>
          <w:rFonts w:asciiTheme="minorHAnsi" w:hAnsiTheme="minorHAnsi" w:cstheme="minorHAnsi"/>
        </w:rPr>
        <w:t>Gikas</w:t>
      </w:r>
      <w:proofErr w:type="spellEnd"/>
      <w:r w:rsidRPr="00DA7B28">
        <w:rPr>
          <w:rFonts w:asciiTheme="minorHAnsi" w:hAnsiTheme="minorHAnsi" w:cstheme="minorHAnsi"/>
        </w:rPr>
        <w:t xml:space="preserve">, Manuela Schmidt and </w:t>
      </w:r>
      <w:proofErr w:type="spellStart"/>
      <w:r w:rsidRPr="00DA7B28">
        <w:rPr>
          <w:rFonts w:asciiTheme="minorHAnsi" w:hAnsiTheme="minorHAnsi" w:cstheme="minorHAnsi"/>
        </w:rPr>
        <w:t>Wangshu</w:t>
      </w:r>
      <w:proofErr w:type="spellEnd"/>
      <w:r w:rsidRPr="00DA7B28">
        <w:rPr>
          <w:rFonts w:asciiTheme="minorHAnsi" w:hAnsiTheme="minorHAnsi" w:cstheme="minorHAnsi"/>
        </w:rPr>
        <w:t xml:space="preserve"> Wang, where the experiences of our LBS2ITS project have been shared. The presentation was well received and several follow-up contacts have been built. Based on the questions and feedback the lessons learned will be used to enhance parts of our project work.</w:t>
      </w:r>
    </w:p>
    <w:p w14:paraId="313E578D" w14:textId="77777777" w:rsidR="00292C36" w:rsidRDefault="00292C36" w:rsidP="00DA344F">
      <w:pPr>
        <w:jc w:val="both"/>
        <w:rPr>
          <w:rFonts w:asciiTheme="minorHAnsi" w:hAnsiTheme="minorHAnsi" w:cstheme="minorHAnsi"/>
        </w:rPr>
      </w:pPr>
    </w:p>
    <w:p w14:paraId="3FB186C7" w14:textId="77777777" w:rsidR="00292C36" w:rsidRPr="00292C36" w:rsidRDefault="00292C36" w:rsidP="00DA344F">
      <w:pPr>
        <w:jc w:val="both"/>
        <w:rPr>
          <w:rFonts w:asciiTheme="minorHAnsi" w:hAnsiTheme="minorHAnsi" w:cstheme="minorHAnsi"/>
          <w:i/>
        </w:rPr>
      </w:pPr>
      <w:r w:rsidRPr="00292C36">
        <w:rPr>
          <w:rFonts w:asciiTheme="minorHAnsi" w:hAnsiTheme="minorHAnsi" w:cstheme="minorHAnsi"/>
          <w:i/>
        </w:rPr>
        <w:t xml:space="preserve">Günther </w:t>
      </w:r>
      <w:proofErr w:type="spellStart"/>
      <w:r w:rsidRPr="00292C36">
        <w:rPr>
          <w:rFonts w:asciiTheme="minorHAnsi" w:hAnsiTheme="minorHAnsi" w:cstheme="minorHAnsi"/>
          <w:i/>
        </w:rPr>
        <w:t>Retscher</w:t>
      </w:r>
      <w:proofErr w:type="spellEnd"/>
      <w:r w:rsidRPr="00292C36">
        <w:rPr>
          <w:rFonts w:asciiTheme="minorHAnsi" w:hAnsiTheme="minorHAnsi" w:cstheme="minorHAnsi"/>
          <w:i/>
        </w:rPr>
        <w:t xml:space="preserve"> and Georg Gartner</w:t>
      </w:r>
    </w:p>
    <w:p w14:paraId="188C4FDF" w14:textId="77777777" w:rsidR="007B09B3" w:rsidRDefault="007B09B3" w:rsidP="007B09B3">
      <w:pPr>
        <w:jc w:val="both"/>
        <w:rPr>
          <w:rFonts w:asciiTheme="majorHAnsi" w:hAnsiTheme="majorHAnsi" w:cstheme="majorHAnsi"/>
          <w:noProof/>
          <w:lang w:eastAsia="en-GB"/>
        </w:rPr>
      </w:pPr>
    </w:p>
    <w:p w14:paraId="59E0CDBD" w14:textId="77777777" w:rsidR="007B09B3" w:rsidRPr="00F85AD0" w:rsidRDefault="007B09B3" w:rsidP="007B09B3">
      <w:pPr>
        <w:jc w:val="both"/>
        <w:rPr>
          <w:rFonts w:asciiTheme="majorHAnsi" w:hAnsiTheme="majorHAnsi" w:cstheme="majorHAnsi"/>
        </w:rPr>
      </w:pPr>
    </w:p>
    <w:p w14:paraId="2041C08D" w14:textId="77777777" w:rsidR="00EE2602" w:rsidRPr="00F85AD0" w:rsidRDefault="00EE2602" w:rsidP="007B09B3">
      <w:pPr>
        <w:jc w:val="both"/>
        <w:rPr>
          <w:rFonts w:asciiTheme="majorHAnsi" w:hAnsiTheme="majorHAnsi" w:cstheme="majorHAnsi"/>
        </w:rPr>
      </w:pPr>
    </w:p>
    <w:sectPr w:rsidR="00EE2602" w:rsidRPr="00F85AD0">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C9560" w14:textId="77777777" w:rsidR="00803C5F" w:rsidRDefault="00803C5F" w:rsidP="00910D55">
      <w:pPr>
        <w:spacing w:before="0" w:after="0"/>
      </w:pPr>
      <w:r>
        <w:separator/>
      </w:r>
    </w:p>
  </w:endnote>
  <w:endnote w:type="continuationSeparator" w:id="0">
    <w:p w14:paraId="435B6CB3" w14:textId="77777777" w:rsidR="00803C5F" w:rsidRDefault="00803C5F" w:rsidP="00910D5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652B1" w14:textId="77777777" w:rsidR="00910D55" w:rsidRDefault="00910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F2F76" w14:textId="77777777" w:rsidR="00803C5F" w:rsidRDefault="00803C5F" w:rsidP="00910D55">
      <w:pPr>
        <w:spacing w:before="0" w:after="0"/>
      </w:pPr>
      <w:r>
        <w:separator/>
      </w:r>
    </w:p>
  </w:footnote>
  <w:footnote w:type="continuationSeparator" w:id="0">
    <w:p w14:paraId="3EBC8F91" w14:textId="77777777" w:rsidR="00803C5F" w:rsidRDefault="00803C5F" w:rsidP="00910D5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D2C57"/>
    <w:multiLevelType w:val="hybridMultilevel"/>
    <w:tmpl w:val="66BE0F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C1A196E"/>
    <w:multiLevelType w:val="multilevel"/>
    <w:tmpl w:val="E99E04F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6EE1739B"/>
    <w:multiLevelType w:val="hybridMultilevel"/>
    <w:tmpl w:val="7812C54C"/>
    <w:lvl w:ilvl="0" w:tplc="F462DE2C">
      <w:start w:val="1"/>
      <w:numFmt w:val="bullet"/>
      <w:pStyle w:val="list1"/>
      <w:lvlText w:val=""/>
      <w:lvlJc w:val="left"/>
      <w:pPr>
        <w:ind w:left="720" w:hanging="360"/>
      </w:pPr>
      <w:rPr>
        <w:rFonts w:ascii="Symbol" w:hAnsi="Symbol" w:hint="default"/>
      </w:rPr>
    </w:lvl>
    <w:lvl w:ilvl="1" w:tplc="878EFA04">
      <w:start w:val="1"/>
      <w:numFmt w:val="bullet"/>
      <w:pStyle w:val="list2"/>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06674260">
    <w:abstractNumId w:val="2"/>
  </w:num>
  <w:num w:numId="2" w16cid:durableId="1938632180">
    <w:abstractNumId w:val="1"/>
  </w:num>
  <w:num w:numId="3" w16cid:durableId="994798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3NzS1NDI1NjU1sjBV0lEKTi0uzszPAykwrAUA8H7fGSwAAAA="/>
  </w:docVars>
  <w:rsids>
    <w:rsidRoot w:val="00D002D8"/>
    <w:rsid w:val="00093370"/>
    <w:rsid w:val="000B3DB2"/>
    <w:rsid w:val="000E6ECA"/>
    <w:rsid w:val="00170599"/>
    <w:rsid w:val="00173C76"/>
    <w:rsid w:val="001D0F41"/>
    <w:rsid w:val="002031F6"/>
    <w:rsid w:val="00203BB5"/>
    <w:rsid w:val="002061C8"/>
    <w:rsid w:val="00235B3C"/>
    <w:rsid w:val="0029184A"/>
    <w:rsid w:val="00292C36"/>
    <w:rsid w:val="002C6397"/>
    <w:rsid w:val="002D731D"/>
    <w:rsid w:val="003866C6"/>
    <w:rsid w:val="00396929"/>
    <w:rsid w:val="00411055"/>
    <w:rsid w:val="004B1379"/>
    <w:rsid w:val="00531ADC"/>
    <w:rsid w:val="00575FF5"/>
    <w:rsid w:val="005810CC"/>
    <w:rsid w:val="005A11E3"/>
    <w:rsid w:val="0065524C"/>
    <w:rsid w:val="00730D37"/>
    <w:rsid w:val="007360A9"/>
    <w:rsid w:val="00755E29"/>
    <w:rsid w:val="00791125"/>
    <w:rsid w:val="007B09B3"/>
    <w:rsid w:val="007C5ED0"/>
    <w:rsid w:val="00803C5F"/>
    <w:rsid w:val="008171C3"/>
    <w:rsid w:val="0085717D"/>
    <w:rsid w:val="008647A7"/>
    <w:rsid w:val="00894A41"/>
    <w:rsid w:val="00910D55"/>
    <w:rsid w:val="00921728"/>
    <w:rsid w:val="00953F41"/>
    <w:rsid w:val="00961025"/>
    <w:rsid w:val="009674ED"/>
    <w:rsid w:val="00992DEE"/>
    <w:rsid w:val="009B5F10"/>
    <w:rsid w:val="00A13572"/>
    <w:rsid w:val="00A279CD"/>
    <w:rsid w:val="00B156F9"/>
    <w:rsid w:val="00B37BD2"/>
    <w:rsid w:val="00B97E00"/>
    <w:rsid w:val="00BA1B7A"/>
    <w:rsid w:val="00BD1F8F"/>
    <w:rsid w:val="00C25CA2"/>
    <w:rsid w:val="00C36BE7"/>
    <w:rsid w:val="00C56B14"/>
    <w:rsid w:val="00C65824"/>
    <w:rsid w:val="00C90202"/>
    <w:rsid w:val="00CF2735"/>
    <w:rsid w:val="00CF4546"/>
    <w:rsid w:val="00D002D8"/>
    <w:rsid w:val="00D3372A"/>
    <w:rsid w:val="00D379E1"/>
    <w:rsid w:val="00D80D25"/>
    <w:rsid w:val="00D81916"/>
    <w:rsid w:val="00D96CBE"/>
    <w:rsid w:val="00DA344F"/>
    <w:rsid w:val="00DA7B28"/>
    <w:rsid w:val="00E21113"/>
    <w:rsid w:val="00E31BE9"/>
    <w:rsid w:val="00E33893"/>
    <w:rsid w:val="00E65CC0"/>
    <w:rsid w:val="00EE2602"/>
    <w:rsid w:val="00F0331F"/>
    <w:rsid w:val="00F155EE"/>
    <w:rsid w:val="00F56F1A"/>
    <w:rsid w:val="00F85AD0"/>
  </w:rsids>
  <m:mathPr>
    <m:mathFont m:val="Cambria Math"/>
    <m:brkBin m:val="before"/>
    <m:brkBinSub m:val="--"/>
    <m:smallFrac m:val="0"/>
    <m:dispDef/>
    <m:lMargin m:val="0"/>
    <m:rMargin m:val="0"/>
    <m:defJc m:val="centerGroup"/>
    <m:wrapIndent m:val="1440"/>
    <m:intLim m:val="subSup"/>
    <m:naryLim m:val="undOvr"/>
  </m:mathPr>
  <w:themeFontLang w:val="de-AT"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B545D"/>
  <w15:chartTrackingRefBased/>
  <w15:docId w15:val="{F6E79E09-538B-45B2-9ED4-99D312A47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4ED"/>
    <w:pPr>
      <w:spacing w:before="60" w:after="60" w:line="240" w:lineRule="auto"/>
    </w:pPr>
    <w:rPr>
      <w:rFonts w:ascii="Open Sans" w:hAnsi="Open Sans" w:cs="Open Sans"/>
      <w:sz w:val="20"/>
      <w:szCs w:val="20"/>
      <w:lang w:val="en-GB"/>
    </w:rPr>
  </w:style>
  <w:style w:type="paragraph" w:styleId="Heading1">
    <w:name w:val="heading 1"/>
    <w:basedOn w:val="Normal"/>
    <w:next w:val="Normal"/>
    <w:link w:val="Heading1Char"/>
    <w:uiPriority w:val="9"/>
    <w:qFormat/>
    <w:rsid w:val="00203BB5"/>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03BB5"/>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03BB5"/>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03BB5"/>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03BB5"/>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03BB5"/>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03BB5"/>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03BB5"/>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3BB5"/>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7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74ED"/>
    <w:pPr>
      <w:ind w:left="720"/>
      <w:contextualSpacing/>
    </w:pPr>
  </w:style>
  <w:style w:type="paragraph" w:customStyle="1" w:styleId="list1">
    <w:name w:val="list1"/>
    <w:basedOn w:val="ListParagraph"/>
    <w:qFormat/>
    <w:rsid w:val="009674ED"/>
    <w:pPr>
      <w:numPr>
        <w:numId w:val="1"/>
      </w:numPr>
      <w:ind w:left="425" w:hanging="357"/>
      <w:contextualSpacing w:val="0"/>
    </w:pPr>
  </w:style>
  <w:style w:type="paragraph" w:customStyle="1" w:styleId="list2">
    <w:name w:val="list2"/>
    <w:basedOn w:val="list1"/>
    <w:qFormat/>
    <w:rsid w:val="005A11E3"/>
    <w:pPr>
      <w:numPr>
        <w:ilvl w:val="1"/>
      </w:numPr>
      <w:ind w:left="851"/>
    </w:pPr>
  </w:style>
  <w:style w:type="character" w:styleId="Hyperlink">
    <w:name w:val="Hyperlink"/>
    <w:basedOn w:val="DefaultParagraphFont"/>
    <w:uiPriority w:val="99"/>
    <w:unhideWhenUsed/>
    <w:rsid w:val="005A11E3"/>
    <w:rPr>
      <w:color w:val="0563C1" w:themeColor="hyperlink"/>
      <w:u w:val="single"/>
    </w:rPr>
  </w:style>
  <w:style w:type="paragraph" w:styleId="Header">
    <w:name w:val="header"/>
    <w:basedOn w:val="Normal"/>
    <w:link w:val="HeaderChar"/>
    <w:uiPriority w:val="99"/>
    <w:unhideWhenUsed/>
    <w:rsid w:val="00910D55"/>
    <w:pPr>
      <w:tabs>
        <w:tab w:val="center" w:pos="4536"/>
        <w:tab w:val="right" w:pos="9072"/>
      </w:tabs>
      <w:spacing w:before="0" w:after="0"/>
    </w:pPr>
  </w:style>
  <w:style w:type="character" w:customStyle="1" w:styleId="HeaderChar">
    <w:name w:val="Header Char"/>
    <w:basedOn w:val="DefaultParagraphFont"/>
    <w:link w:val="Header"/>
    <w:uiPriority w:val="99"/>
    <w:rsid w:val="00910D55"/>
    <w:rPr>
      <w:rFonts w:ascii="Open Sans" w:hAnsi="Open Sans" w:cs="Open Sans"/>
      <w:sz w:val="20"/>
      <w:szCs w:val="20"/>
      <w:lang w:val="en-GB"/>
    </w:rPr>
  </w:style>
  <w:style w:type="paragraph" w:styleId="Footer">
    <w:name w:val="footer"/>
    <w:basedOn w:val="Normal"/>
    <w:link w:val="FooterChar"/>
    <w:uiPriority w:val="99"/>
    <w:unhideWhenUsed/>
    <w:rsid w:val="00910D55"/>
    <w:pPr>
      <w:tabs>
        <w:tab w:val="center" w:pos="4536"/>
        <w:tab w:val="right" w:pos="9072"/>
      </w:tabs>
      <w:spacing w:before="0" w:after="0"/>
    </w:pPr>
  </w:style>
  <w:style w:type="character" w:customStyle="1" w:styleId="FooterChar">
    <w:name w:val="Footer Char"/>
    <w:basedOn w:val="DefaultParagraphFont"/>
    <w:link w:val="Footer"/>
    <w:uiPriority w:val="99"/>
    <w:rsid w:val="00910D55"/>
    <w:rPr>
      <w:rFonts w:ascii="Open Sans" w:hAnsi="Open Sans" w:cs="Open Sans"/>
      <w:sz w:val="20"/>
      <w:szCs w:val="20"/>
      <w:lang w:val="en-GB"/>
    </w:rPr>
  </w:style>
  <w:style w:type="character" w:customStyle="1" w:styleId="Heading1Char">
    <w:name w:val="Heading 1 Char"/>
    <w:basedOn w:val="DefaultParagraphFont"/>
    <w:link w:val="Heading1"/>
    <w:uiPriority w:val="9"/>
    <w:rsid w:val="00203BB5"/>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semiHidden/>
    <w:rsid w:val="00203BB5"/>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semiHidden/>
    <w:rsid w:val="00203BB5"/>
    <w:rPr>
      <w:rFonts w:asciiTheme="majorHAnsi" w:eastAsiaTheme="majorEastAsia" w:hAnsiTheme="majorHAnsi" w:cstheme="majorBidi"/>
      <w:color w:val="1F4D78" w:themeColor="accent1" w:themeShade="7F"/>
      <w:sz w:val="24"/>
      <w:szCs w:val="24"/>
      <w:lang w:val="en-GB"/>
    </w:rPr>
  </w:style>
  <w:style w:type="character" w:customStyle="1" w:styleId="Heading4Char">
    <w:name w:val="Heading 4 Char"/>
    <w:basedOn w:val="DefaultParagraphFont"/>
    <w:link w:val="Heading4"/>
    <w:uiPriority w:val="9"/>
    <w:semiHidden/>
    <w:rsid w:val="00203BB5"/>
    <w:rPr>
      <w:rFonts w:asciiTheme="majorHAnsi" w:eastAsiaTheme="majorEastAsia" w:hAnsiTheme="majorHAnsi" w:cstheme="majorBidi"/>
      <w:i/>
      <w:iCs/>
      <w:color w:val="2E74B5" w:themeColor="accent1" w:themeShade="BF"/>
      <w:sz w:val="20"/>
      <w:szCs w:val="20"/>
      <w:lang w:val="en-GB"/>
    </w:rPr>
  </w:style>
  <w:style w:type="character" w:customStyle="1" w:styleId="Heading5Char">
    <w:name w:val="Heading 5 Char"/>
    <w:basedOn w:val="DefaultParagraphFont"/>
    <w:link w:val="Heading5"/>
    <w:uiPriority w:val="9"/>
    <w:semiHidden/>
    <w:rsid w:val="00203BB5"/>
    <w:rPr>
      <w:rFonts w:asciiTheme="majorHAnsi" w:eastAsiaTheme="majorEastAsia" w:hAnsiTheme="majorHAnsi" w:cstheme="majorBidi"/>
      <w:color w:val="2E74B5" w:themeColor="accent1" w:themeShade="BF"/>
      <w:sz w:val="20"/>
      <w:szCs w:val="20"/>
      <w:lang w:val="en-GB"/>
    </w:rPr>
  </w:style>
  <w:style w:type="character" w:customStyle="1" w:styleId="Heading6Char">
    <w:name w:val="Heading 6 Char"/>
    <w:basedOn w:val="DefaultParagraphFont"/>
    <w:link w:val="Heading6"/>
    <w:uiPriority w:val="9"/>
    <w:semiHidden/>
    <w:rsid w:val="00203BB5"/>
    <w:rPr>
      <w:rFonts w:asciiTheme="majorHAnsi" w:eastAsiaTheme="majorEastAsia" w:hAnsiTheme="majorHAnsi" w:cstheme="majorBidi"/>
      <w:color w:val="1F4D78" w:themeColor="accent1" w:themeShade="7F"/>
      <w:sz w:val="20"/>
      <w:szCs w:val="20"/>
      <w:lang w:val="en-GB"/>
    </w:rPr>
  </w:style>
  <w:style w:type="character" w:customStyle="1" w:styleId="Heading7Char">
    <w:name w:val="Heading 7 Char"/>
    <w:basedOn w:val="DefaultParagraphFont"/>
    <w:link w:val="Heading7"/>
    <w:uiPriority w:val="9"/>
    <w:semiHidden/>
    <w:rsid w:val="00203BB5"/>
    <w:rPr>
      <w:rFonts w:asciiTheme="majorHAnsi" w:eastAsiaTheme="majorEastAsia" w:hAnsiTheme="majorHAnsi" w:cstheme="majorBidi"/>
      <w:i/>
      <w:iCs/>
      <w:color w:val="1F4D78" w:themeColor="accent1" w:themeShade="7F"/>
      <w:sz w:val="20"/>
      <w:szCs w:val="20"/>
      <w:lang w:val="en-GB"/>
    </w:rPr>
  </w:style>
  <w:style w:type="character" w:customStyle="1" w:styleId="Heading8Char">
    <w:name w:val="Heading 8 Char"/>
    <w:basedOn w:val="DefaultParagraphFont"/>
    <w:link w:val="Heading8"/>
    <w:uiPriority w:val="9"/>
    <w:semiHidden/>
    <w:rsid w:val="00203BB5"/>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203BB5"/>
    <w:rPr>
      <w:rFonts w:asciiTheme="majorHAnsi" w:eastAsiaTheme="majorEastAsia" w:hAnsiTheme="majorHAnsi" w:cstheme="majorBidi"/>
      <w:i/>
      <w:iCs/>
      <w:color w:val="272727" w:themeColor="text1" w:themeTint="D8"/>
      <w:sz w:val="21"/>
      <w:szCs w:val="21"/>
      <w:lang w:val="en-GB"/>
    </w:rPr>
  </w:style>
  <w:style w:type="paragraph" w:styleId="Caption">
    <w:name w:val="caption"/>
    <w:basedOn w:val="Normal"/>
    <w:next w:val="Normal"/>
    <w:uiPriority w:val="35"/>
    <w:unhideWhenUsed/>
    <w:qFormat/>
    <w:rsid w:val="0085717D"/>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prs2022-nice.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cs.editorial.upv.es/index.php/HEAD/HEAd22/paper/view/14473"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DD908-BA07-44E0-B7C7-7CCA2FA9B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11586</TotalTime>
  <Pages>2</Pages>
  <Words>496</Words>
  <Characters>2829</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TU Wien - Campusversion</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Günther Retscher</dc:creator>
  <cp:keywords/>
  <dc:description/>
  <cp:lastModifiedBy>Gayamini Shanmuganathan</cp:lastModifiedBy>
  <cp:revision>7</cp:revision>
  <dcterms:created xsi:type="dcterms:W3CDTF">2022-09-05T13:53:00Z</dcterms:created>
  <dcterms:modified xsi:type="dcterms:W3CDTF">2022-09-16T03:24:00Z</dcterms:modified>
</cp:coreProperties>
</file>